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65AF9" w:rsidRPr="001E7A9A" w14:paraId="00B89DA6" w14:textId="77777777" w:rsidTr="00C00F93">
        <w:trPr>
          <w:trHeight w:val="990"/>
        </w:trPr>
        <w:tc>
          <w:tcPr>
            <w:tcW w:w="1080" w:type="dxa"/>
            <w:tcBorders>
              <w:top w:val="nil"/>
              <w:left w:val="nil"/>
              <w:bottom w:val="nil"/>
              <w:right w:val="single" w:sz="4" w:space="0" w:color="auto"/>
            </w:tcBorders>
          </w:tcPr>
          <w:p w14:paraId="228EB26B" w14:textId="77777777" w:rsidR="00E65AF9" w:rsidRPr="001E7A9A" w:rsidRDefault="00A82CEB" w:rsidP="00E65AF9">
            <w:pPr>
              <w:jc w:val="center"/>
              <w:rPr>
                <w:rFonts w:ascii="Arial" w:hAnsi="Arial" w:cs="Arial"/>
                <w:sz w:val="22"/>
                <w:szCs w:val="22"/>
              </w:rPr>
            </w:pPr>
            <w:r w:rsidRPr="001E7A9A">
              <w:rPr>
                <w:rFonts w:ascii="Arial" w:hAnsi="Arial" w:cs="Arial"/>
                <w:sz w:val="22"/>
                <w:szCs w:val="22"/>
              </w:rPr>
              <w:pict w14:anchorId="02EA9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25pt">
                  <v:imagedata r:id="rId7" o:title=""/>
                </v:shape>
              </w:pict>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75F8750" w14:textId="77777777" w:rsidR="00E65AF9" w:rsidRPr="00452493" w:rsidRDefault="00E65AF9" w:rsidP="00E65AF9">
            <w:pPr>
              <w:rPr>
                <w:rFonts w:ascii="Open Sans" w:hAnsi="Open Sans" w:cs="Open Sans"/>
                <w:b/>
              </w:rPr>
            </w:pPr>
            <w:r w:rsidRPr="00452493">
              <w:rPr>
                <w:rFonts w:ascii="Open Sans" w:hAnsi="Open Sans" w:cs="Open Sans"/>
                <w:b/>
              </w:rPr>
              <w:t>Tennessee Department of Children’s Services</w:t>
            </w:r>
          </w:p>
          <w:p w14:paraId="06D6FD1B" w14:textId="77777777" w:rsidR="00E65AF9" w:rsidRPr="004C51C0" w:rsidRDefault="00365466" w:rsidP="00E65AF9">
            <w:pPr>
              <w:rPr>
                <w:rFonts w:ascii="Open Sans" w:hAnsi="Open Sans" w:cs="Open Sans"/>
                <w:b/>
                <w:sz w:val="32"/>
                <w:szCs w:val="32"/>
              </w:rPr>
            </w:pPr>
            <w:r w:rsidRPr="004C51C0">
              <w:rPr>
                <w:rFonts w:ascii="Open Sans" w:hAnsi="Open Sans" w:cs="Open Sans"/>
                <w:b/>
                <w:sz w:val="32"/>
                <w:szCs w:val="32"/>
              </w:rPr>
              <w:t>Water Hazard/Pool Safety Assessment Tool</w:t>
            </w:r>
          </w:p>
        </w:tc>
      </w:tr>
    </w:tbl>
    <w:p w14:paraId="45849C8E" w14:textId="77777777" w:rsidR="0004199F" w:rsidRDefault="0004199F"/>
    <w:p w14:paraId="0B76D6B9" w14:textId="77777777" w:rsidR="00365466" w:rsidRPr="00447794" w:rsidRDefault="00365466" w:rsidP="00365466">
      <w:pPr>
        <w:rPr>
          <w:rStyle w:val="Hyperlink"/>
          <w:rFonts w:ascii="Open Sans" w:hAnsi="Open Sans" w:cs="Open Sans"/>
          <w:b/>
          <w:bCs/>
          <w:i/>
          <w:iCs/>
          <w:sz w:val="18"/>
          <w:szCs w:val="18"/>
        </w:rPr>
      </w:pPr>
      <w:r w:rsidRPr="00447794">
        <w:rPr>
          <w:rFonts w:ascii="Open Sans" w:hAnsi="Open Sans" w:cs="Open Sans"/>
          <w:sz w:val="18"/>
          <w:szCs w:val="18"/>
        </w:rPr>
        <w:t>Instructions: This form is designed to be used by the Department of Children’s Services and Private Provider Contract Agencies to document/assess the safety of pools / water hazards on the foster parent or non</w:t>
      </w:r>
      <w:r w:rsidR="00202D1C">
        <w:rPr>
          <w:rFonts w:ascii="Open Sans" w:hAnsi="Open Sans" w:cs="Open Sans"/>
          <w:sz w:val="18"/>
          <w:szCs w:val="18"/>
        </w:rPr>
        <w:t>-</w:t>
      </w:r>
      <w:r w:rsidRPr="00447794">
        <w:rPr>
          <w:rFonts w:ascii="Open Sans" w:hAnsi="Open Sans" w:cs="Open Sans"/>
          <w:sz w:val="18"/>
          <w:szCs w:val="18"/>
        </w:rPr>
        <w:t>custodial placement’s property.</w:t>
      </w:r>
      <w:r w:rsidR="00202D1C" w:rsidRPr="00202D1C">
        <w:t xml:space="preserve"> </w:t>
      </w:r>
      <w:r w:rsidR="00202D1C" w:rsidRPr="00202D1C">
        <w:rPr>
          <w:rFonts w:ascii="Open Sans" w:hAnsi="Open Sans" w:cs="Open Sans"/>
          <w:sz w:val="18"/>
          <w:szCs w:val="18"/>
        </w:rPr>
        <w:t xml:space="preserve">Include a safety plan </w:t>
      </w:r>
      <w:r w:rsidR="00202D1C">
        <w:rPr>
          <w:rFonts w:ascii="Open Sans" w:hAnsi="Open Sans" w:cs="Open Sans"/>
          <w:sz w:val="18"/>
          <w:szCs w:val="18"/>
        </w:rPr>
        <w:t>with form</w:t>
      </w:r>
      <w:r w:rsidR="00202D1C" w:rsidRPr="00202D1C">
        <w:rPr>
          <w:rFonts w:ascii="Open Sans" w:hAnsi="Open Sans" w:cs="Open Sans"/>
          <w:sz w:val="18"/>
          <w:szCs w:val="18"/>
        </w:rPr>
        <w:t xml:space="preserve"> Non-custodial Expedited Placement Assessment Summary or Home Safety Checklist</w:t>
      </w:r>
      <w:r w:rsidR="00202D1C">
        <w:rPr>
          <w:rFonts w:ascii="Open Sans" w:hAnsi="Open Sans" w:cs="Open Sans"/>
          <w:sz w:val="18"/>
          <w:szCs w:val="18"/>
        </w:rPr>
        <w:t xml:space="preserve"> to address concerns and non-compliance attaching this document.</w:t>
      </w:r>
    </w:p>
    <w:p w14:paraId="69181BB2" w14:textId="77777777" w:rsidR="00365466" w:rsidRPr="00447794" w:rsidRDefault="00365466" w:rsidP="00365466">
      <w:pPr>
        <w:rPr>
          <w:rStyle w:val="Hyperlink"/>
          <w:rFonts w:ascii="Open Sans" w:hAnsi="Open Sans" w:cs="Open Sans"/>
          <w:b/>
          <w:bCs/>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520"/>
        <w:gridCol w:w="1890"/>
        <w:gridCol w:w="2250"/>
        <w:gridCol w:w="720"/>
        <w:gridCol w:w="1440"/>
      </w:tblGrid>
      <w:tr w:rsidR="00F7455B" w:rsidRPr="00F84C62" w14:paraId="28589624" w14:textId="77777777" w:rsidTr="00F84C62">
        <w:tc>
          <w:tcPr>
            <w:tcW w:w="1908" w:type="dxa"/>
            <w:tcBorders>
              <w:top w:val="nil"/>
              <w:left w:val="nil"/>
              <w:bottom w:val="nil"/>
              <w:right w:val="nil"/>
            </w:tcBorders>
            <w:shd w:val="clear" w:color="auto" w:fill="auto"/>
          </w:tcPr>
          <w:p w14:paraId="5CEB671C" w14:textId="77777777" w:rsidR="00F7455B" w:rsidRPr="00F84C62" w:rsidRDefault="00F7455B" w:rsidP="00365466">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t>Placement Name:</w:t>
            </w:r>
          </w:p>
        </w:tc>
        <w:tc>
          <w:tcPr>
            <w:tcW w:w="2520" w:type="dxa"/>
            <w:tcBorders>
              <w:top w:val="nil"/>
              <w:left w:val="nil"/>
              <w:right w:val="nil"/>
            </w:tcBorders>
            <w:shd w:val="clear" w:color="auto" w:fill="auto"/>
          </w:tcPr>
          <w:p w14:paraId="4DDF8925" w14:textId="77777777" w:rsidR="00F7455B" w:rsidRPr="00F84C62" w:rsidRDefault="00F7455B" w:rsidP="00365466">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fldChar w:fldCharType="begin">
                <w:ffData>
                  <w:name w:val="Text1"/>
                  <w:enabled/>
                  <w:calcOnExit w:val="0"/>
                  <w:textInput/>
                </w:ffData>
              </w:fldChar>
            </w:r>
            <w:bookmarkStart w:id="0" w:name="Text1"/>
            <w:r w:rsidRPr="00F84C62">
              <w:rPr>
                <w:rStyle w:val="Hyperlink"/>
                <w:rFonts w:ascii="Open Sans" w:hAnsi="Open Sans" w:cs="Open Sans"/>
                <w:color w:val="auto"/>
                <w:sz w:val="18"/>
                <w:szCs w:val="18"/>
                <w:u w:val="none"/>
              </w:rPr>
              <w:instrText xml:space="preserve"> FORMTEXT </w:instrText>
            </w:r>
            <w:r w:rsidRPr="00F84C62">
              <w:rPr>
                <w:rStyle w:val="Hyperlink"/>
                <w:rFonts w:ascii="Open Sans" w:hAnsi="Open Sans" w:cs="Open Sans"/>
                <w:color w:val="auto"/>
                <w:sz w:val="18"/>
                <w:szCs w:val="18"/>
                <w:u w:val="none"/>
              </w:rPr>
            </w:r>
            <w:r w:rsidRPr="00F84C62">
              <w:rPr>
                <w:rStyle w:val="Hyperlink"/>
                <w:rFonts w:ascii="Open Sans" w:hAnsi="Open Sans" w:cs="Open Sans"/>
                <w:color w:val="auto"/>
                <w:sz w:val="18"/>
                <w:szCs w:val="18"/>
                <w:u w:val="none"/>
              </w:rPr>
              <w:fldChar w:fldCharType="separate"/>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color w:val="auto"/>
                <w:sz w:val="18"/>
                <w:szCs w:val="18"/>
                <w:u w:val="none"/>
              </w:rPr>
              <w:fldChar w:fldCharType="end"/>
            </w:r>
            <w:bookmarkEnd w:id="0"/>
          </w:p>
        </w:tc>
        <w:tc>
          <w:tcPr>
            <w:tcW w:w="1890" w:type="dxa"/>
            <w:tcBorders>
              <w:top w:val="nil"/>
              <w:left w:val="nil"/>
              <w:bottom w:val="nil"/>
              <w:right w:val="nil"/>
            </w:tcBorders>
            <w:shd w:val="clear" w:color="auto" w:fill="auto"/>
          </w:tcPr>
          <w:p w14:paraId="139D2078" w14:textId="77777777" w:rsidR="00F7455B" w:rsidRPr="00F84C62" w:rsidRDefault="00F7455B" w:rsidP="00365466">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t>Assessor’s Name:</w:t>
            </w:r>
          </w:p>
        </w:tc>
        <w:tc>
          <w:tcPr>
            <w:tcW w:w="2250" w:type="dxa"/>
            <w:tcBorders>
              <w:top w:val="nil"/>
              <w:left w:val="nil"/>
              <w:right w:val="nil"/>
            </w:tcBorders>
            <w:shd w:val="clear" w:color="auto" w:fill="auto"/>
          </w:tcPr>
          <w:p w14:paraId="0DF34EC6" w14:textId="77777777" w:rsidR="00F7455B" w:rsidRPr="00F84C62" w:rsidRDefault="00F7455B" w:rsidP="00365466">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fldChar w:fldCharType="begin">
                <w:ffData>
                  <w:name w:val="Text1"/>
                  <w:enabled/>
                  <w:calcOnExit w:val="0"/>
                  <w:textInput/>
                </w:ffData>
              </w:fldChar>
            </w:r>
            <w:r w:rsidRPr="00F84C62">
              <w:rPr>
                <w:rStyle w:val="Hyperlink"/>
                <w:rFonts w:ascii="Open Sans" w:hAnsi="Open Sans" w:cs="Open Sans"/>
                <w:color w:val="auto"/>
                <w:sz w:val="18"/>
                <w:szCs w:val="18"/>
                <w:u w:val="none"/>
              </w:rPr>
              <w:instrText xml:space="preserve"> FORMTEXT </w:instrText>
            </w:r>
            <w:r w:rsidRPr="00F84C62">
              <w:rPr>
                <w:rStyle w:val="Hyperlink"/>
                <w:rFonts w:ascii="Open Sans" w:hAnsi="Open Sans" w:cs="Open Sans"/>
                <w:color w:val="auto"/>
                <w:sz w:val="18"/>
                <w:szCs w:val="18"/>
                <w:u w:val="none"/>
              </w:rPr>
            </w:r>
            <w:r w:rsidRPr="00F84C62">
              <w:rPr>
                <w:rStyle w:val="Hyperlink"/>
                <w:rFonts w:ascii="Open Sans" w:hAnsi="Open Sans" w:cs="Open Sans"/>
                <w:color w:val="auto"/>
                <w:sz w:val="18"/>
                <w:szCs w:val="18"/>
                <w:u w:val="none"/>
              </w:rPr>
              <w:fldChar w:fldCharType="separate"/>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color w:val="auto"/>
                <w:sz w:val="18"/>
                <w:szCs w:val="18"/>
                <w:u w:val="none"/>
              </w:rPr>
              <w:fldChar w:fldCharType="end"/>
            </w:r>
          </w:p>
        </w:tc>
        <w:tc>
          <w:tcPr>
            <w:tcW w:w="720" w:type="dxa"/>
            <w:tcBorders>
              <w:top w:val="nil"/>
              <w:left w:val="nil"/>
              <w:bottom w:val="nil"/>
              <w:right w:val="nil"/>
            </w:tcBorders>
            <w:shd w:val="clear" w:color="auto" w:fill="auto"/>
          </w:tcPr>
          <w:p w14:paraId="4A21B7BA" w14:textId="77777777" w:rsidR="00F7455B" w:rsidRPr="00F84C62" w:rsidRDefault="00F7455B" w:rsidP="00365466">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t>Date:</w:t>
            </w:r>
          </w:p>
        </w:tc>
        <w:tc>
          <w:tcPr>
            <w:tcW w:w="1440" w:type="dxa"/>
            <w:tcBorders>
              <w:top w:val="nil"/>
              <w:left w:val="nil"/>
              <w:right w:val="nil"/>
            </w:tcBorders>
            <w:shd w:val="clear" w:color="auto" w:fill="auto"/>
          </w:tcPr>
          <w:p w14:paraId="0A924473" w14:textId="77777777" w:rsidR="00F7455B" w:rsidRPr="00F84C62" w:rsidRDefault="00F7455B" w:rsidP="00365466">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fldChar w:fldCharType="begin">
                <w:ffData>
                  <w:name w:val="Text1"/>
                  <w:enabled/>
                  <w:calcOnExit w:val="0"/>
                  <w:textInput/>
                </w:ffData>
              </w:fldChar>
            </w:r>
            <w:r w:rsidRPr="00F84C62">
              <w:rPr>
                <w:rStyle w:val="Hyperlink"/>
                <w:rFonts w:ascii="Open Sans" w:hAnsi="Open Sans" w:cs="Open Sans"/>
                <w:color w:val="auto"/>
                <w:sz w:val="18"/>
                <w:szCs w:val="18"/>
                <w:u w:val="none"/>
              </w:rPr>
              <w:instrText xml:space="preserve"> FORMTEXT </w:instrText>
            </w:r>
            <w:r w:rsidRPr="00F84C62">
              <w:rPr>
                <w:rStyle w:val="Hyperlink"/>
                <w:rFonts w:ascii="Open Sans" w:hAnsi="Open Sans" w:cs="Open Sans"/>
                <w:color w:val="auto"/>
                <w:sz w:val="18"/>
                <w:szCs w:val="18"/>
                <w:u w:val="none"/>
              </w:rPr>
            </w:r>
            <w:r w:rsidRPr="00F84C62">
              <w:rPr>
                <w:rStyle w:val="Hyperlink"/>
                <w:rFonts w:ascii="Open Sans" w:hAnsi="Open Sans" w:cs="Open Sans"/>
                <w:color w:val="auto"/>
                <w:sz w:val="18"/>
                <w:szCs w:val="18"/>
                <w:u w:val="none"/>
              </w:rPr>
              <w:fldChar w:fldCharType="separate"/>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color w:val="auto"/>
                <w:sz w:val="18"/>
                <w:szCs w:val="18"/>
                <w:u w:val="none"/>
              </w:rPr>
              <w:fldChar w:fldCharType="end"/>
            </w:r>
          </w:p>
        </w:tc>
      </w:tr>
    </w:tbl>
    <w:p w14:paraId="6984BCEA" w14:textId="77777777" w:rsidR="00365466" w:rsidRPr="00447794" w:rsidRDefault="00365466" w:rsidP="00365466">
      <w:pPr>
        <w:rPr>
          <w:rStyle w:val="Hyperlink"/>
          <w:rFonts w:ascii="Open Sans" w:hAnsi="Open Sans" w:cs="Open Sans"/>
          <w:sz w:val="18"/>
          <w:szCs w:val="18"/>
          <w:u w:val="none"/>
        </w:rPr>
      </w:pPr>
    </w:p>
    <w:p w14:paraId="2450550C" w14:textId="77777777" w:rsidR="00365466" w:rsidRPr="00447794" w:rsidRDefault="006C0688" w:rsidP="00365466">
      <w:pPr>
        <w:rPr>
          <w:rStyle w:val="Hyperlink"/>
          <w:rFonts w:ascii="Open Sans" w:hAnsi="Open Sans" w:cs="Open Sans"/>
          <w:b/>
          <w:bCs/>
          <w:color w:val="auto"/>
          <w:sz w:val="18"/>
          <w:szCs w:val="18"/>
        </w:rPr>
      </w:pPr>
      <w:r w:rsidRPr="00447794">
        <w:rPr>
          <w:rStyle w:val="Hyperlink"/>
          <w:rFonts w:ascii="Open Sans" w:hAnsi="Open Sans" w:cs="Open Sans"/>
          <w:b/>
          <w:bCs/>
          <w:color w:val="auto"/>
          <w:sz w:val="18"/>
          <w:szCs w:val="18"/>
        </w:rPr>
        <w:t xml:space="preserve">Inground </w:t>
      </w:r>
      <w:r w:rsidR="004C51C0">
        <w:rPr>
          <w:rStyle w:val="Hyperlink"/>
          <w:rFonts w:ascii="Open Sans" w:hAnsi="Open Sans" w:cs="Open Sans"/>
          <w:b/>
          <w:bCs/>
          <w:color w:val="auto"/>
          <w:sz w:val="18"/>
          <w:szCs w:val="18"/>
        </w:rPr>
        <w:t xml:space="preserve">or Above Ground </w:t>
      </w:r>
      <w:r w:rsidRPr="00447794">
        <w:rPr>
          <w:rStyle w:val="Hyperlink"/>
          <w:rFonts w:ascii="Open Sans" w:hAnsi="Open Sans" w:cs="Open Sans"/>
          <w:b/>
          <w:bCs/>
          <w:color w:val="auto"/>
          <w:sz w:val="18"/>
          <w:szCs w:val="18"/>
        </w:rPr>
        <w:t>Pools:</w:t>
      </w:r>
    </w:p>
    <w:p w14:paraId="38DB6063"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The top of the barrier shall be at least 48 inches above finished ground level measured on the side of the barrier which faces away from the swimming pool.  This includes the top of the pool structure for above ground pools.</w:t>
      </w:r>
    </w:p>
    <w:p w14:paraId="530D8430"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 xml:space="preserve">The maximum vertical clearance between finished ground level and the barrier shall be </w:t>
      </w:r>
      <w:r w:rsidRPr="004C51C0">
        <w:rPr>
          <w:rFonts w:ascii="Open Sans" w:hAnsi="Open Sans" w:cs="Open Sans"/>
          <w:b/>
          <w:bCs/>
          <w:sz w:val="18"/>
          <w:szCs w:val="18"/>
        </w:rPr>
        <w:t xml:space="preserve">2 inches </w:t>
      </w:r>
      <w:r w:rsidRPr="004C51C0">
        <w:rPr>
          <w:rFonts w:ascii="Open Sans" w:hAnsi="Open Sans" w:cs="Open Sans"/>
          <w:sz w:val="18"/>
          <w:szCs w:val="18"/>
        </w:rPr>
        <w:t xml:space="preserve">measured on the side of the barrier which faces away from the swimming pool. </w:t>
      </w:r>
    </w:p>
    <w:p w14:paraId="4895178E"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Where the barrier is mounted on the pool structure, the opening between the top surface of the pool frame and the bottom of the barrier shall not allow passage of a 4-inch diameter sphere.</w:t>
      </w:r>
    </w:p>
    <w:p w14:paraId="1AB56E91"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The fence cannot be easily climbed up or climbed through (not composed of horizontal boards on the outside, having handholds or protrusions if made of stone or masonry, having holes in the fence that a 4-inch sphere could fit through)</w:t>
      </w:r>
    </w:p>
    <w:p w14:paraId="3D5F6B32"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Where the barrier is composed of horizontal and vertical members and the distance between the tops of the horizontal members is less than 45 inches the horizontal members shall be located on the swimming pool side of the fence. Spacing between vertical members shall not exceed 1-3/4 inches in width. Decorative cutouts shall not exceed 1-3/4 inches in width.</w:t>
      </w:r>
    </w:p>
    <w:p w14:paraId="10A031B0"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Where the barrier is composed of horizontal and vertical members and the distance between the tops of the horizontal members is 45 inches or more, spacing between the vertical members shall not exceed 4 inches. Decorative cutouts shall not exceed 1-3/4 inches in width.</w:t>
      </w:r>
    </w:p>
    <w:p w14:paraId="6C9EDC37"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Maximum mesh size for chain link fences shall be a 1-1/4-inch square unless the fence is provided with slats fastened at the top or bottom which reduce the openings to not more than 1-3/4 inches.</w:t>
      </w:r>
    </w:p>
    <w:p w14:paraId="25731B6D"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Where the barrier is composed of diagonal members, such as a lattice fence, the maximum opening formed by the diagonal members shall be not more than 1-3/4 inches.</w:t>
      </w:r>
    </w:p>
    <w:p w14:paraId="4BEFD85F"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 xml:space="preserve">Pedestrian access gates comply with the requirements above, open away from the pool, are self-closing, and have a self-latching device.   </w:t>
      </w:r>
    </w:p>
    <w:p w14:paraId="4B4CA20E"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Gates other than pedestrian access gates shall have a self-latching device where the release mechanism of the self-latching device is less than 54 inches from the bottom of the gate: ( a ) the release mechanism shall be located on the pool side of the gate at least 3 inches below the top of the gate; and (b) the gate and barrier shall not have an opening greater than ½ inch within 18 inches of the release mechanism.</w:t>
      </w:r>
    </w:p>
    <w:p w14:paraId="55F1E25A" w14:textId="77777777" w:rsidR="004C51C0" w:rsidRPr="004C51C0" w:rsidRDefault="004C51C0" w:rsidP="004C51C0">
      <w:pPr>
        <w:numPr>
          <w:ilvl w:val="0"/>
          <w:numId w:val="29"/>
        </w:numPr>
        <w:rPr>
          <w:rFonts w:ascii="Open Sans" w:hAnsi="Open Sans" w:cs="Open Sans"/>
          <w:sz w:val="18"/>
          <w:szCs w:val="18"/>
        </w:rPr>
      </w:pPr>
      <w:bookmarkStart w:id="1" w:name="_Hlk53737990"/>
      <w:r w:rsidRPr="004C51C0">
        <w:rPr>
          <w:rFonts w:ascii="Open Sans" w:hAnsi="Open Sans" w:cs="Open Sans"/>
          <w:sz w:val="18"/>
          <w:szCs w:val="18"/>
        </w:rPr>
        <w:t>Where a wall of a dwelling unit serves as part of part of the barrier and contains a door that provides direct access to the pool, one of the following shall apply:</w:t>
      </w:r>
    </w:p>
    <w:p w14:paraId="3B858CC8" w14:textId="77777777" w:rsidR="004C51C0" w:rsidRPr="004C51C0" w:rsidRDefault="004C51C0" w:rsidP="004C51C0">
      <w:pPr>
        <w:numPr>
          <w:ilvl w:val="1"/>
          <w:numId w:val="29"/>
        </w:numPr>
        <w:rPr>
          <w:rFonts w:ascii="Open Sans" w:hAnsi="Open Sans" w:cs="Open Sans"/>
          <w:sz w:val="18"/>
          <w:szCs w:val="18"/>
        </w:rPr>
      </w:pPr>
      <w:r w:rsidRPr="004C51C0">
        <w:rPr>
          <w:rFonts w:ascii="Open Sans" w:hAnsi="Open Sans" w:cs="Open Sans"/>
          <w:sz w:val="18"/>
          <w:szCs w:val="18"/>
        </w:rPr>
        <w:t xml:space="preserve">Equipped with a functioning door alarm which produces an audible warning when the door and its screen, if present, are opened. The audible warning shall commence not more than 7 seconds after the door and door screen, if present, are opened and shall sound continuously for a minimum of 30 seconds. The alarm shall have a minimum sound pressure rating of 85 Dba at 10 feet and the sound of the alarm shall be distinctive from other household sounds such as smoke alarms, telephones, and doorbells. The alarm shall automatically reset under all conditions. The alarm shall be equipped with manual means, such as touchpads or switches, to deactivate temporarily the </w:t>
      </w:r>
      <w:r w:rsidRPr="004C51C0">
        <w:rPr>
          <w:rFonts w:ascii="Open Sans" w:hAnsi="Open Sans" w:cs="Open Sans"/>
          <w:sz w:val="18"/>
          <w:szCs w:val="18"/>
        </w:rPr>
        <w:lastRenderedPageBreak/>
        <w:t>alarm for a single opening from either direction. Such deactivation shall last for not more than 15 seconds. The deactivation touchpads or switches shall be located at least 54 inches above the threshold of the door</w:t>
      </w:r>
    </w:p>
    <w:p w14:paraId="0D76B8B0" w14:textId="77777777" w:rsidR="004C51C0" w:rsidRPr="004C51C0" w:rsidRDefault="004C51C0" w:rsidP="004C51C0">
      <w:pPr>
        <w:numPr>
          <w:ilvl w:val="1"/>
          <w:numId w:val="29"/>
        </w:numPr>
        <w:rPr>
          <w:rFonts w:ascii="Open Sans" w:hAnsi="Open Sans" w:cs="Open Sans"/>
          <w:sz w:val="18"/>
          <w:szCs w:val="18"/>
        </w:rPr>
      </w:pPr>
      <w:r w:rsidRPr="004C51C0">
        <w:rPr>
          <w:rFonts w:ascii="Open Sans" w:hAnsi="Open Sans" w:cs="Open Sans"/>
          <w:sz w:val="18"/>
          <w:szCs w:val="18"/>
        </w:rPr>
        <w:t>A self-closing latching device that is at least 54 inches above the floor.  Swinging doors shall open away from the pool area.</w:t>
      </w:r>
    </w:p>
    <w:p w14:paraId="1E97FE39" w14:textId="77777777" w:rsidR="004C51C0" w:rsidRPr="004C51C0" w:rsidRDefault="004C51C0" w:rsidP="004C51C0">
      <w:pPr>
        <w:numPr>
          <w:ilvl w:val="1"/>
          <w:numId w:val="29"/>
        </w:numPr>
        <w:rPr>
          <w:rFonts w:ascii="Open Sans" w:hAnsi="Open Sans" w:cs="Open Sans"/>
          <w:sz w:val="18"/>
          <w:szCs w:val="18"/>
        </w:rPr>
      </w:pPr>
      <w:r w:rsidRPr="004C51C0">
        <w:rPr>
          <w:rFonts w:ascii="Open Sans" w:hAnsi="Open Sans" w:cs="Open Sans"/>
          <w:sz w:val="18"/>
          <w:szCs w:val="18"/>
        </w:rPr>
        <w:t>The pool has a power safety cover where in a closed position, the cover shall be capable of holding a weight of 485 pounds, shall not have any openings that allow passage of a 4-1/2 inch sphere and shall incorporate a system to drain standing water that collects on the cover. The cover control switch shall be permanently installed in accordance with NFPA 70 listed in chapter 35 and be key operated and of a spring loaded or momentary contact type. Where the switch is released, the operation of the cover shall stop instantly and be capable of reversing direction immediately. The switch shall be in the line of sight of the complete pool cover</w:t>
      </w:r>
    </w:p>
    <w:bookmarkEnd w:id="1"/>
    <w:p w14:paraId="480092B8"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 xml:space="preserve">Where an above ground pool structure is used as a barrier or where the barrier is mounted on top of the pool structure, and the means of access is a fixed or removable ladder or steps, the ladder or steps shall be surrounded by a barrier which meets the requirements of items above. A removable ladder shall not constitute an acceptable alternative to enclosure requirements.  </w:t>
      </w:r>
    </w:p>
    <w:p w14:paraId="590977A8"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The pool is equipped with a water safety alarm.</w:t>
      </w:r>
    </w:p>
    <w:p w14:paraId="5B404790"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The pool is equipped with a life saving device such as a ring buoy.</w:t>
      </w:r>
    </w:p>
    <w:p w14:paraId="4C064FDB" w14:textId="77777777" w:rsidR="004C51C0" w:rsidRPr="004C51C0" w:rsidRDefault="004C51C0" w:rsidP="004C51C0">
      <w:pPr>
        <w:numPr>
          <w:ilvl w:val="0"/>
          <w:numId w:val="29"/>
        </w:numPr>
        <w:rPr>
          <w:rFonts w:ascii="Open Sans" w:hAnsi="Open Sans" w:cs="Open Sans"/>
          <w:sz w:val="18"/>
          <w:szCs w:val="18"/>
        </w:rPr>
      </w:pPr>
      <w:r w:rsidRPr="004C51C0">
        <w:rPr>
          <w:rFonts w:ascii="Open Sans" w:hAnsi="Open Sans" w:cs="Open Sans"/>
          <w:sz w:val="18"/>
          <w:szCs w:val="18"/>
        </w:rPr>
        <w:t>Prohibited locations: Barriers shall be located to prohibit permanent structures, equipment or similar objects from being used to climb the barriers.</w:t>
      </w:r>
    </w:p>
    <w:p w14:paraId="293257A8" w14:textId="77777777" w:rsidR="00FA7FBE" w:rsidRPr="00447794" w:rsidRDefault="00FA7FBE" w:rsidP="00FA7FBE">
      <w:pPr>
        <w:rPr>
          <w:rStyle w:val="Hyperlink"/>
          <w:rFonts w:ascii="Open Sans" w:hAnsi="Open Sans" w:cs="Open Sans"/>
          <w:b/>
          <w:bCs/>
          <w:color w:val="auto"/>
          <w:sz w:val="18"/>
          <w:szCs w:val="18"/>
        </w:rPr>
      </w:pPr>
      <w:r w:rsidRPr="00447794">
        <w:rPr>
          <w:rStyle w:val="Hyperlink"/>
          <w:rFonts w:ascii="Open Sans" w:hAnsi="Open Sans" w:cs="Open Sans"/>
          <w:b/>
          <w:bCs/>
          <w:color w:val="auto"/>
          <w:sz w:val="18"/>
          <w:szCs w:val="18"/>
        </w:rPr>
        <w:t>Hot Tub/Spa:</w:t>
      </w:r>
    </w:p>
    <w:tbl>
      <w:tblPr>
        <w:tblW w:w="0" w:type="auto"/>
        <w:tblLook w:val="04A0" w:firstRow="1" w:lastRow="0" w:firstColumn="1" w:lastColumn="0" w:noHBand="0" w:noVBand="1"/>
      </w:tblPr>
      <w:tblGrid>
        <w:gridCol w:w="1363"/>
        <w:gridCol w:w="489"/>
        <w:gridCol w:w="8876"/>
      </w:tblGrid>
      <w:tr w:rsidR="00FA7FBE" w:rsidRPr="00F84C62" w14:paraId="41A2B2C3" w14:textId="77777777" w:rsidTr="00F84C62">
        <w:tc>
          <w:tcPr>
            <w:tcW w:w="1363" w:type="dxa"/>
            <w:shd w:val="clear" w:color="auto" w:fill="auto"/>
          </w:tcPr>
          <w:p w14:paraId="0B598C5F" w14:textId="77777777" w:rsidR="00FA7FBE" w:rsidRPr="00F84C62" w:rsidRDefault="00FA7FBE" w:rsidP="00F84C62">
            <w:pPr>
              <w:rPr>
                <w:rStyle w:val="Hyperlink"/>
                <w:rFonts w:ascii="Open Sans" w:hAnsi="Open Sans" w:cs="Open Sans"/>
                <w:color w:val="auto"/>
                <w:sz w:val="18"/>
                <w:szCs w:val="18"/>
                <w:u w:val="none"/>
              </w:rPr>
            </w:pPr>
          </w:p>
        </w:tc>
        <w:tc>
          <w:tcPr>
            <w:tcW w:w="489" w:type="dxa"/>
            <w:shd w:val="clear" w:color="auto" w:fill="auto"/>
          </w:tcPr>
          <w:p w14:paraId="056ABECE" w14:textId="77777777" w:rsidR="00FA7FBE" w:rsidRPr="00F84C62" w:rsidRDefault="00FA7FBE" w:rsidP="00F84C62">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fldChar w:fldCharType="begin">
                <w:ffData>
                  <w:name w:val="Check1"/>
                  <w:enabled/>
                  <w:calcOnExit w:val="0"/>
                  <w:checkBox>
                    <w:sizeAuto/>
                    <w:default w:val="0"/>
                  </w:checkBox>
                </w:ffData>
              </w:fldChar>
            </w:r>
            <w:r w:rsidRPr="00F84C62">
              <w:rPr>
                <w:rStyle w:val="Hyperlink"/>
                <w:rFonts w:ascii="Open Sans" w:hAnsi="Open Sans" w:cs="Open Sans"/>
                <w:color w:val="auto"/>
                <w:sz w:val="18"/>
                <w:szCs w:val="18"/>
                <w:u w:val="none"/>
              </w:rPr>
              <w:instrText xml:space="preserve"> FORMCHECKBOX </w:instrText>
            </w:r>
            <w:r w:rsidRPr="00F84C62">
              <w:rPr>
                <w:rStyle w:val="Hyperlink"/>
                <w:rFonts w:ascii="Open Sans" w:hAnsi="Open Sans" w:cs="Open Sans"/>
                <w:color w:val="auto"/>
                <w:sz w:val="18"/>
                <w:szCs w:val="18"/>
                <w:u w:val="none"/>
              </w:rPr>
            </w:r>
            <w:r w:rsidRPr="00F84C62">
              <w:rPr>
                <w:rStyle w:val="Hyperlink"/>
                <w:rFonts w:ascii="Open Sans" w:hAnsi="Open Sans" w:cs="Open Sans"/>
                <w:color w:val="auto"/>
                <w:sz w:val="18"/>
                <w:szCs w:val="18"/>
                <w:u w:val="none"/>
              </w:rPr>
              <w:fldChar w:fldCharType="end"/>
            </w:r>
          </w:p>
        </w:tc>
        <w:tc>
          <w:tcPr>
            <w:tcW w:w="8876" w:type="dxa"/>
            <w:shd w:val="clear" w:color="auto" w:fill="auto"/>
          </w:tcPr>
          <w:p w14:paraId="6B269157" w14:textId="77777777" w:rsidR="00FA7FBE" w:rsidRPr="00F84C62" w:rsidRDefault="00FA7FBE" w:rsidP="00F84C62">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t xml:space="preserve">Hot Tub/Spa is equipped with a cover that is always locked when not in use.  </w:t>
            </w:r>
          </w:p>
        </w:tc>
      </w:tr>
      <w:tr w:rsidR="00FA7FBE" w:rsidRPr="00F84C62" w14:paraId="7477B8F8" w14:textId="77777777" w:rsidTr="00F84C62">
        <w:tc>
          <w:tcPr>
            <w:tcW w:w="1363" w:type="dxa"/>
            <w:shd w:val="clear" w:color="auto" w:fill="auto"/>
          </w:tcPr>
          <w:p w14:paraId="19B0BBEF" w14:textId="77777777" w:rsidR="00FA7FBE" w:rsidRPr="00F84C62" w:rsidRDefault="00FA7FBE" w:rsidP="00F84C62">
            <w:pPr>
              <w:rPr>
                <w:rStyle w:val="Hyperlink"/>
                <w:rFonts w:ascii="Open Sans" w:hAnsi="Open Sans" w:cs="Open Sans"/>
                <w:color w:val="auto"/>
                <w:sz w:val="18"/>
                <w:szCs w:val="18"/>
                <w:u w:val="none"/>
              </w:rPr>
            </w:pPr>
          </w:p>
        </w:tc>
        <w:tc>
          <w:tcPr>
            <w:tcW w:w="489" w:type="dxa"/>
            <w:shd w:val="clear" w:color="auto" w:fill="auto"/>
          </w:tcPr>
          <w:p w14:paraId="2C26722D" w14:textId="77777777" w:rsidR="00FA7FBE" w:rsidRPr="00F84C62" w:rsidRDefault="00FA7FBE" w:rsidP="00F84C62">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fldChar w:fldCharType="begin">
                <w:ffData>
                  <w:name w:val="Check1"/>
                  <w:enabled/>
                  <w:calcOnExit w:val="0"/>
                  <w:checkBox>
                    <w:sizeAuto/>
                    <w:default w:val="0"/>
                  </w:checkBox>
                </w:ffData>
              </w:fldChar>
            </w:r>
            <w:r w:rsidRPr="00F84C62">
              <w:rPr>
                <w:rStyle w:val="Hyperlink"/>
                <w:rFonts w:ascii="Open Sans" w:hAnsi="Open Sans" w:cs="Open Sans"/>
                <w:color w:val="auto"/>
                <w:sz w:val="18"/>
                <w:szCs w:val="18"/>
                <w:u w:val="none"/>
              </w:rPr>
              <w:instrText xml:space="preserve"> FORMCHECKBOX </w:instrText>
            </w:r>
            <w:r w:rsidRPr="00F84C62">
              <w:rPr>
                <w:rStyle w:val="Hyperlink"/>
                <w:rFonts w:ascii="Open Sans" w:hAnsi="Open Sans" w:cs="Open Sans"/>
                <w:color w:val="auto"/>
                <w:sz w:val="18"/>
                <w:szCs w:val="18"/>
                <w:u w:val="none"/>
              </w:rPr>
            </w:r>
            <w:r w:rsidRPr="00F84C62">
              <w:rPr>
                <w:rStyle w:val="Hyperlink"/>
                <w:rFonts w:ascii="Open Sans" w:hAnsi="Open Sans" w:cs="Open Sans"/>
                <w:color w:val="auto"/>
                <w:sz w:val="18"/>
                <w:szCs w:val="18"/>
                <w:u w:val="none"/>
              </w:rPr>
              <w:fldChar w:fldCharType="end"/>
            </w:r>
          </w:p>
        </w:tc>
        <w:tc>
          <w:tcPr>
            <w:tcW w:w="8876" w:type="dxa"/>
            <w:shd w:val="clear" w:color="auto" w:fill="auto"/>
          </w:tcPr>
          <w:p w14:paraId="59F70495" w14:textId="77777777" w:rsidR="00FA7FBE" w:rsidRPr="00F84C62" w:rsidRDefault="00FA7FBE" w:rsidP="00F84C62">
            <w:pPr>
              <w:rPr>
                <w:rStyle w:val="Hyperlink"/>
                <w:rFonts w:ascii="Open Sans" w:hAnsi="Open Sans" w:cs="Open Sans"/>
                <w:color w:val="auto"/>
                <w:sz w:val="18"/>
                <w:szCs w:val="18"/>
                <w:u w:val="none"/>
              </w:rPr>
            </w:pPr>
            <w:r w:rsidRPr="00F84C62">
              <w:rPr>
                <w:rStyle w:val="Hyperlink"/>
                <w:rFonts w:ascii="Open Sans" w:hAnsi="Open Sans" w:cs="Open Sans"/>
                <w:color w:val="auto"/>
                <w:sz w:val="18"/>
                <w:szCs w:val="18"/>
                <w:u w:val="none"/>
              </w:rPr>
              <w:t xml:space="preserve">Non-Portable hot tub/spa is equipped with a functioning water safety alarm. </w:t>
            </w:r>
          </w:p>
        </w:tc>
      </w:tr>
    </w:tbl>
    <w:p w14:paraId="2FFFF110" w14:textId="77777777" w:rsidR="000C7A06" w:rsidRPr="00447794" w:rsidRDefault="000C7A06" w:rsidP="00435419">
      <w:pPr>
        <w:rPr>
          <w:rFonts w:ascii="Open Sans" w:hAnsi="Open Sans" w:cs="Open Sans"/>
          <w:noProof/>
          <w:sz w:val="18"/>
          <w:szCs w:val="18"/>
        </w:rPr>
      </w:pPr>
    </w:p>
    <w:tbl>
      <w:tblPr>
        <w:tblW w:w="0" w:type="auto"/>
        <w:tblLook w:val="04A0" w:firstRow="1" w:lastRow="0" w:firstColumn="1" w:lastColumn="0" w:noHBand="0" w:noVBand="1"/>
      </w:tblPr>
      <w:tblGrid>
        <w:gridCol w:w="4698"/>
        <w:gridCol w:w="1530"/>
        <w:gridCol w:w="2790"/>
        <w:gridCol w:w="1710"/>
      </w:tblGrid>
      <w:tr w:rsidR="00FA7FBE" w:rsidRPr="00F84C62" w14:paraId="2576A041" w14:textId="77777777" w:rsidTr="00F84C62">
        <w:tc>
          <w:tcPr>
            <w:tcW w:w="4698" w:type="dxa"/>
            <w:shd w:val="clear" w:color="auto" w:fill="auto"/>
          </w:tcPr>
          <w:p w14:paraId="08CFCD1B" w14:textId="77777777" w:rsidR="00FA7FBE" w:rsidRPr="00F84C62" w:rsidRDefault="00447794" w:rsidP="00435419">
            <w:pPr>
              <w:rPr>
                <w:rFonts w:ascii="Open Sans" w:hAnsi="Open Sans" w:cs="Open Sans"/>
                <w:noProof/>
                <w:sz w:val="18"/>
                <w:szCs w:val="18"/>
              </w:rPr>
            </w:pPr>
            <w:r w:rsidRPr="00F84C62">
              <w:rPr>
                <w:rFonts w:ascii="Open Sans" w:hAnsi="Open Sans" w:cs="Open Sans"/>
                <w:noProof/>
                <w:sz w:val="18"/>
                <w:szCs w:val="18"/>
              </w:rPr>
              <w:t>Are there city/county regulations in which to comply?</w:t>
            </w:r>
          </w:p>
        </w:tc>
        <w:tc>
          <w:tcPr>
            <w:tcW w:w="1530" w:type="dxa"/>
            <w:shd w:val="clear" w:color="auto" w:fill="auto"/>
          </w:tcPr>
          <w:p w14:paraId="26FC3391" w14:textId="77777777" w:rsidR="00FA7FBE" w:rsidRPr="00F84C62" w:rsidRDefault="00447794" w:rsidP="00435419">
            <w:pPr>
              <w:rPr>
                <w:rFonts w:ascii="Open Sans" w:hAnsi="Open Sans" w:cs="Open Sans"/>
                <w:noProof/>
                <w:sz w:val="18"/>
                <w:szCs w:val="18"/>
              </w:rPr>
            </w:pPr>
            <w:r w:rsidRPr="00F84C62">
              <w:rPr>
                <w:rFonts w:ascii="Open Sans" w:hAnsi="Open Sans" w:cs="Open Sans"/>
                <w:noProof/>
                <w:sz w:val="18"/>
                <w:szCs w:val="18"/>
              </w:rPr>
              <w:t xml:space="preserve">Yes </w:t>
            </w:r>
            <w:r w:rsidRPr="00F84C62">
              <w:rPr>
                <w:rFonts w:ascii="Open Sans" w:hAnsi="Open Sans" w:cs="Open Sans"/>
                <w:noProof/>
                <w:sz w:val="18"/>
                <w:szCs w:val="18"/>
              </w:rPr>
              <w:fldChar w:fldCharType="begin">
                <w:ffData>
                  <w:name w:val="Check2"/>
                  <w:enabled/>
                  <w:calcOnExit w:val="0"/>
                  <w:checkBox>
                    <w:sizeAuto/>
                    <w:default w:val="0"/>
                  </w:checkBox>
                </w:ffData>
              </w:fldChar>
            </w:r>
            <w:bookmarkStart w:id="2" w:name="Check2"/>
            <w:r w:rsidRPr="00F84C62">
              <w:rPr>
                <w:rFonts w:ascii="Open Sans" w:hAnsi="Open Sans" w:cs="Open Sans"/>
                <w:noProof/>
                <w:sz w:val="18"/>
                <w:szCs w:val="18"/>
              </w:rPr>
              <w:instrText xml:space="preserve"> FORMCHECKBOX </w:instrText>
            </w:r>
            <w:r w:rsidRPr="00F84C62">
              <w:rPr>
                <w:rFonts w:ascii="Open Sans" w:hAnsi="Open Sans" w:cs="Open Sans"/>
                <w:noProof/>
                <w:sz w:val="18"/>
                <w:szCs w:val="18"/>
              </w:rPr>
            </w:r>
            <w:r w:rsidRPr="00F84C62">
              <w:rPr>
                <w:rFonts w:ascii="Open Sans" w:hAnsi="Open Sans" w:cs="Open Sans"/>
                <w:noProof/>
                <w:sz w:val="18"/>
                <w:szCs w:val="18"/>
              </w:rPr>
              <w:fldChar w:fldCharType="end"/>
            </w:r>
            <w:bookmarkEnd w:id="2"/>
            <w:r w:rsidRPr="00F84C62">
              <w:rPr>
                <w:rFonts w:ascii="Open Sans" w:hAnsi="Open Sans" w:cs="Open Sans"/>
                <w:noProof/>
                <w:sz w:val="18"/>
                <w:szCs w:val="18"/>
              </w:rPr>
              <w:t xml:space="preserve">    No </w:t>
            </w:r>
            <w:r w:rsidRPr="00F84C62">
              <w:rPr>
                <w:rFonts w:ascii="Open Sans" w:hAnsi="Open Sans" w:cs="Open Sans"/>
                <w:noProof/>
                <w:sz w:val="18"/>
                <w:szCs w:val="18"/>
              </w:rPr>
              <w:fldChar w:fldCharType="begin">
                <w:ffData>
                  <w:name w:val="Check3"/>
                  <w:enabled/>
                  <w:calcOnExit w:val="0"/>
                  <w:checkBox>
                    <w:sizeAuto/>
                    <w:default w:val="0"/>
                  </w:checkBox>
                </w:ffData>
              </w:fldChar>
            </w:r>
            <w:bookmarkStart w:id="3" w:name="Check3"/>
            <w:r w:rsidRPr="00F84C62">
              <w:rPr>
                <w:rFonts w:ascii="Open Sans" w:hAnsi="Open Sans" w:cs="Open Sans"/>
                <w:noProof/>
                <w:sz w:val="18"/>
                <w:szCs w:val="18"/>
              </w:rPr>
              <w:instrText xml:space="preserve"> FORMCHECKBOX </w:instrText>
            </w:r>
            <w:r w:rsidRPr="00F84C62">
              <w:rPr>
                <w:rFonts w:ascii="Open Sans" w:hAnsi="Open Sans" w:cs="Open Sans"/>
                <w:noProof/>
                <w:sz w:val="18"/>
                <w:szCs w:val="18"/>
              </w:rPr>
            </w:r>
            <w:r w:rsidRPr="00F84C62">
              <w:rPr>
                <w:rFonts w:ascii="Open Sans" w:hAnsi="Open Sans" w:cs="Open Sans"/>
                <w:noProof/>
                <w:sz w:val="18"/>
                <w:szCs w:val="18"/>
              </w:rPr>
              <w:fldChar w:fldCharType="end"/>
            </w:r>
            <w:bookmarkEnd w:id="3"/>
          </w:p>
        </w:tc>
        <w:tc>
          <w:tcPr>
            <w:tcW w:w="2790" w:type="dxa"/>
            <w:shd w:val="clear" w:color="auto" w:fill="auto"/>
          </w:tcPr>
          <w:p w14:paraId="34530257" w14:textId="77777777" w:rsidR="00FA7FBE" w:rsidRPr="00F84C62" w:rsidRDefault="00447794" w:rsidP="00435419">
            <w:pPr>
              <w:rPr>
                <w:rFonts w:ascii="Open Sans" w:hAnsi="Open Sans" w:cs="Open Sans"/>
                <w:noProof/>
                <w:sz w:val="18"/>
                <w:szCs w:val="18"/>
              </w:rPr>
            </w:pPr>
            <w:r w:rsidRPr="00F84C62">
              <w:rPr>
                <w:rFonts w:ascii="Open Sans" w:hAnsi="Open Sans" w:cs="Open Sans"/>
                <w:noProof/>
                <w:sz w:val="18"/>
                <w:szCs w:val="18"/>
              </w:rPr>
              <w:t>If yes, is the home compliant?</w:t>
            </w:r>
          </w:p>
        </w:tc>
        <w:tc>
          <w:tcPr>
            <w:tcW w:w="1710" w:type="dxa"/>
            <w:shd w:val="clear" w:color="auto" w:fill="auto"/>
          </w:tcPr>
          <w:p w14:paraId="6F8D9413" w14:textId="77777777" w:rsidR="00FA7FBE" w:rsidRPr="00F84C62" w:rsidRDefault="00447794" w:rsidP="00435419">
            <w:pPr>
              <w:rPr>
                <w:rFonts w:ascii="Open Sans" w:hAnsi="Open Sans" w:cs="Open Sans"/>
                <w:noProof/>
                <w:sz w:val="18"/>
                <w:szCs w:val="18"/>
              </w:rPr>
            </w:pPr>
            <w:r w:rsidRPr="00F84C62">
              <w:rPr>
                <w:rFonts w:ascii="Open Sans" w:hAnsi="Open Sans" w:cs="Open Sans"/>
                <w:noProof/>
                <w:sz w:val="18"/>
                <w:szCs w:val="18"/>
              </w:rPr>
              <w:t xml:space="preserve">Yes </w:t>
            </w:r>
            <w:r w:rsidRPr="00F84C62">
              <w:rPr>
                <w:rFonts w:ascii="Open Sans" w:hAnsi="Open Sans" w:cs="Open Sans"/>
                <w:noProof/>
                <w:sz w:val="18"/>
                <w:szCs w:val="18"/>
              </w:rPr>
              <w:fldChar w:fldCharType="begin">
                <w:ffData>
                  <w:name w:val="Check2"/>
                  <w:enabled/>
                  <w:calcOnExit w:val="0"/>
                  <w:checkBox>
                    <w:sizeAuto/>
                    <w:default w:val="0"/>
                  </w:checkBox>
                </w:ffData>
              </w:fldChar>
            </w:r>
            <w:r w:rsidRPr="00F84C62">
              <w:rPr>
                <w:rFonts w:ascii="Open Sans" w:hAnsi="Open Sans" w:cs="Open Sans"/>
                <w:noProof/>
                <w:sz w:val="18"/>
                <w:szCs w:val="18"/>
              </w:rPr>
              <w:instrText xml:space="preserve"> FORMCHECKBOX </w:instrText>
            </w:r>
            <w:r w:rsidRPr="00F84C62">
              <w:rPr>
                <w:rFonts w:ascii="Open Sans" w:hAnsi="Open Sans" w:cs="Open Sans"/>
                <w:noProof/>
                <w:sz w:val="18"/>
                <w:szCs w:val="18"/>
              </w:rPr>
            </w:r>
            <w:r w:rsidRPr="00F84C62">
              <w:rPr>
                <w:rFonts w:ascii="Open Sans" w:hAnsi="Open Sans" w:cs="Open Sans"/>
                <w:noProof/>
                <w:sz w:val="18"/>
                <w:szCs w:val="18"/>
              </w:rPr>
              <w:fldChar w:fldCharType="end"/>
            </w:r>
            <w:r w:rsidRPr="00F84C62">
              <w:rPr>
                <w:rFonts w:ascii="Open Sans" w:hAnsi="Open Sans" w:cs="Open Sans"/>
                <w:noProof/>
                <w:sz w:val="18"/>
                <w:szCs w:val="18"/>
              </w:rPr>
              <w:t xml:space="preserve">    No </w:t>
            </w:r>
            <w:r w:rsidRPr="00F84C62">
              <w:rPr>
                <w:rFonts w:ascii="Open Sans" w:hAnsi="Open Sans" w:cs="Open Sans"/>
                <w:noProof/>
                <w:sz w:val="18"/>
                <w:szCs w:val="18"/>
              </w:rPr>
              <w:fldChar w:fldCharType="begin">
                <w:ffData>
                  <w:name w:val="Check3"/>
                  <w:enabled/>
                  <w:calcOnExit w:val="0"/>
                  <w:checkBox>
                    <w:sizeAuto/>
                    <w:default w:val="0"/>
                  </w:checkBox>
                </w:ffData>
              </w:fldChar>
            </w:r>
            <w:r w:rsidRPr="00F84C62">
              <w:rPr>
                <w:rFonts w:ascii="Open Sans" w:hAnsi="Open Sans" w:cs="Open Sans"/>
                <w:noProof/>
                <w:sz w:val="18"/>
                <w:szCs w:val="18"/>
              </w:rPr>
              <w:instrText xml:space="preserve"> FORMCHECKBOX </w:instrText>
            </w:r>
            <w:r w:rsidRPr="00F84C62">
              <w:rPr>
                <w:rFonts w:ascii="Open Sans" w:hAnsi="Open Sans" w:cs="Open Sans"/>
                <w:noProof/>
                <w:sz w:val="18"/>
                <w:szCs w:val="18"/>
              </w:rPr>
            </w:r>
            <w:r w:rsidRPr="00F84C62">
              <w:rPr>
                <w:rFonts w:ascii="Open Sans" w:hAnsi="Open Sans" w:cs="Open Sans"/>
                <w:noProof/>
                <w:sz w:val="18"/>
                <w:szCs w:val="18"/>
              </w:rPr>
              <w:fldChar w:fldCharType="end"/>
            </w:r>
          </w:p>
        </w:tc>
      </w:tr>
    </w:tbl>
    <w:p w14:paraId="52EEA11F" w14:textId="77777777" w:rsidR="000C7A06" w:rsidRPr="0016268F" w:rsidRDefault="000C7A06" w:rsidP="00435419">
      <w:pPr>
        <w:rPr>
          <w:rFonts w:ascii="Open Sans" w:hAnsi="Open Sans" w:cs="Open Sans"/>
          <w:noProof/>
          <w:sz w:val="21"/>
          <w:szCs w:val="21"/>
        </w:rPr>
      </w:pPr>
    </w:p>
    <w:p w14:paraId="27A8155A" w14:textId="77777777" w:rsidR="000C7A06" w:rsidRPr="00447794" w:rsidRDefault="00447794" w:rsidP="00435419">
      <w:pPr>
        <w:rPr>
          <w:rFonts w:ascii="Open Sans" w:hAnsi="Open Sans" w:cs="Open Sans"/>
          <w:noProof/>
          <w:sz w:val="18"/>
          <w:szCs w:val="18"/>
        </w:rPr>
      </w:pPr>
      <w:r w:rsidRPr="00447794">
        <w:rPr>
          <w:rFonts w:ascii="Open Sans" w:hAnsi="Open Sans" w:cs="Open Sans"/>
          <w:noProof/>
          <w:sz w:val="18"/>
          <w:szCs w:val="18"/>
        </w:rPr>
        <w:t>Attach city/county regulations.</w:t>
      </w:r>
    </w:p>
    <w:p w14:paraId="7647F788" w14:textId="77777777" w:rsidR="000C7A06" w:rsidRPr="0016268F" w:rsidRDefault="000C7A06" w:rsidP="00435419">
      <w:pPr>
        <w:rPr>
          <w:rFonts w:ascii="Open Sans" w:hAnsi="Open Sans" w:cs="Open Sans"/>
          <w:noProof/>
          <w:sz w:val="21"/>
          <w:szCs w:val="21"/>
        </w:rPr>
      </w:pPr>
    </w:p>
    <w:p w14:paraId="41F01471" w14:textId="77777777" w:rsidR="00447794" w:rsidRPr="00447794" w:rsidRDefault="00447794" w:rsidP="00447794">
      <w:pPr>
        <w:rPr>
          <w:rStyle w:val="Hyperlink"/>
          <w:rFonts w:ascii="Open Sans" w:hAnsi="Open Sans" w:cs="Open Sans"/>
          <w:b/>
          <w:bCs/>
          <w:color w:val="auto"/>
          <w:sz w:val="18"/>
          <w:szCs w:val="18"/>
        </w:rPr>
      </w:pPr>
      <w:r>
        <w:rPr>
          <w:rStyle w:val="Hyperlink"/>
          <w:rFonts w:ascii="Open Sans" w:hAnsi="Open Sans" w:cs="Open Sans"/>
          <w:b/>
          <w:bCs/>
          <w:color w:val="auto"/>
          <w:sz w:val="18"/>
          <w:szCs w:val="18"/>
        </w:rPr>
        <w:t>Other water safety hazards</w:t>
      </w:r>
      <w:r w:rsidRPr="00447794">
        <w:rPr>
          <w:rStyle w:val="Hyperlink"/>
          <w:rFonts w:ascii="Open Sans" w:hAnsi="Open Sans" w:cs="Open Sans"/>
          <w:b/>
          <w:bCs/>
          <w:color w:val="auto"/>
          <w:sz w:val="18"/>
          <w:szCs w:val="18"/>
        </w:rPr>
        <w:t>:</w:t>
      </w:r>
    </w:p>
    <w:p w14:paraId="324D0C97" w14:textId="77777777" w:rsidR="000C7A06" w:rsidRDefault="00447794" w:rsidP="00435419">
      <w:pPr>
        <w:rPr>
          <w:rFonts w:ascii="Open Sans" w:hAnsi="Open Sans" w:cs="Open Sans"/>
          <w:noProof/>
          <w:sz w:val="18"/>
          <w:szCs w:val="18"/>
        </w:rPr>
      </w:pPr>
      <w:r>
        <w:rPr>
          <w:rFonts w:ascii="Open Sans" w:hAnsi="Open Sans" w:cs="Open Sans"/>
          <w:noProof/>
          <w:sz w:val="18"/>
          <w:szCs w:val="18"/>
        </w:rPr>
        <w:t xml:space="preserve">Describe water hazard(s) and safety measures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447794" w:rsidRPr="00F84C62" w14:paraId="0568335E" w14:textId="77777777" w:rsidTr="00F84C62">
        <w:tc>
          <w:tcPr>
            <w:tcW w:w="10728" w:type="dxa"/>
            <w:shd w:val="clear" w:color="auto" w:fill="auto"/>
          </w:tcPr>
          <w:p w14:paraId="50E8D904" w14:textId="77777777" w:rsidR="00447794" w:rsidRPr="00F84C62" w:rsidRDefault="00447794" w:rsidP="00435419">
            <w:pPr>
              <w:rPr>
                <w:rFonts w:ascii="Open Sans" w:hAnsi="Open Sans" w:cs="Open Sans"/>
                <w:noProof/>
                <w:sz w:val="18"/>
                <w:szCs w:val="18"/>
              </w:rPr>
            </w:pPr>
            <w:r w:rsidRPr="00F84C62">
              <w:rPr>
                <w:rStyle w:val="Hyperlink"/>
                <w:rFonts w:ascii="Open Sans" w:hAnsi="Open Sans" w:cs="Open Sans"/>
                <w:color w:val="auto"/>
                <w:sz w:val="18"/>
                <w:szCs w:val="18"/>
                <w:u w:val="none"/>
              </w:rPr>
              <w:fldChar w:fldCharType="begin">
                <w:ffData>
                  <w:name w:val="Text1"/>
                  <w:enabled/>
                  <w:calcOnExit w:val="0"/>
                  <w:textInput/>
                </w:ffData>
              </w:fldChar>
            </w:r>
            <w:r w:rsidRPr="00F84C62">
              <w:rPr>
                <w:rStyle w:val="Hyperlink"/>
                <w:rFonts w:ascii="Open Sans" w:hAnsi="Open Sans" w:cs="Open Sans"/>
                <w:color w:val="auto"/>
                <w:sz w:val="18"/>
                <w:szCs w:val="18"/>
                <w:u w:val="none"/>
              </w:rPr>
              <w:instrText xml:space="preserve"> FORMTEXT </w:instrText>
            </w:r>
            <w:r w:rsidRPr="00F84C62">
              <w:rPr>
                <w:rStyle w:val="Hyperlink"/>
                <w:rFonts w:ascii="Open Sans" w:hAnsi="Open Sans" w:cs="Open Sans"/>
                <w:color w:val="auto"/>
                <w:sz w:val="18"/>
                <w:szCs w:val="18"/>
                <w:u w:val="none"/>
              </w:rPr>
            </w:r>
            <w:r w:rsidRPr="00F84C62">
              <w:rPr>
                <w:rStyle w:val="Hyperlink"/>
                <w:rFonts w:ascii="Open Sans" w:hAnsi="Open Sans" w:cs="Open Sans"/>
                <w:color w:val="auto"/>
                <w:sz w:val="18"/>
                <w:szCs w:val="18"/>
                <w:u w:val="none"/>
              </w:rPr>
              <w:fldChar w:fldCharType="separate"/>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noProof/>
                <w:color w:val="auto"/>
                <w:sz w:val="18"/>
                <w:szCs w:val="18"/>
                <w:u w:val="none"/>
              </w:rPr>
              <w:t> </w:t>
            </w:r>
            <w:r w:rsidRPr="00F84C62">
              <w:rPr>
                <w:rStyle w:val="Hyperlink"/>
                <w:rFonts w:ascii="Open Sans" w:hAnsi="Open Sans" w:cs="Open Sans"/>
                <w:color w:val="auto"/>
                <w:sz w:val="18"/>
                <w:szCs w:val="18"/>
                <w:u w:val="none"/>
              </w:rPr>
              <w:fldChar w:fldCharType="end"/>
            </w:r>
          </w:p>
          <w:p w14:paraId="0FDA5854" w14:textId="77777777" w:rsidR="00447794" w:rsidRPr="00F84C62" w:rsidRDefault="00447794" w:rsidP="00435419">
            <w:pPr>
              <w:rPr>
                <w:rFonts w:ascii="Open Sans" w:hAnsi="Open Sans" w:cs="Open Sans"/>
                <w:noProof/>
                <w:sz w:val="18"/>
                <w:szCs w:val="18"/>
              </w:rPr>
            </w:pPr>
          </w:p>
          <w:p w14:paraId="467B5B3E" w14:textId="77777777" w:rsidR="00447794" w:rsidRPr="00F84C62" w:rsidRDefault="00447794" w:rsidP="00435419">
            <w:pPr>
              <w:rPr>
                <w:rFonts w:ascii="Open Sans" w:hAnsi="Open Sans" w:cs="Open Sans"/>
                <w:noProof/>
                <w:sz w:val="18"/>
                <w:szCs w:val="18"/>
              </w:rPr>
            </w:pPr>
          </w:p>
        </w:tc>
      </w:tr>
    </w:tbl>
    <w:p w14:paraId="09874876" w14:textId="77777777" w:rsidR="000C7A06" w:rsidRPr="0016268F" w:rsidRDefault="000C7A06" w:rsidP="00447794">
      <w:pPr>
        <w:jc w:val="center"/>
        <w:rPr>
          <w:rFonts w:ascii="Open Sans" w:hAnsi="Open Sans" w:cs="Open Sans"/>
          <w:noProof/>
          <w:sz w:val="22"/>
          <w:szCs w:val="22"/>
        </w:rPr>
      </w:pPr>
    </w:p>
    <w:sectPr w:rsidR="000C7A06" w:rsidRPr="0016268F" w:rsidSect="00D763E2">
      <w:footerReference w:type="default" r:id="rId8"/>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9C54" w14:textId="77777777" w:rsidR="008D2F47" w:rsidRDefault="008D2F47">
      <w:r>
        <w:separator/>
      </w:r>
    </w:p>
  </w:endnote>
  <w:endnote w:type="continuationSeparator" w:id="0">
    <w:p w14:paraId="5E3E89E9" w14:textId="77777777" w:rsidR="008D2F47" w:rsidRDefault="008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A2FA" w14:textId="77777777" w:rsidR="00D763E2" w:rsidRDefault="00D763E2" w:rsidP="002979E2">
    <w:pPr>
      <w:pStyle w:val="Footer"/>
      <w:ind w:right="360"/>
      <w:rPr>
        <w:rFonts w:ascii="Arial" w:hAnsi="Arial" w:cs="Arial"/>
        <w:sz w:val="18"/>
        <w:szCs w:val="18"/>
      </w:rPr>
    </w:pPr>
  </w:p>
  <w:p w14:paraId="44CE56CB" w14:textId="77777777" w:rsidR="00497ED7" w:rsidRPr="002979E2" w:rsidRDefault="000E7F89" w:rsidP="00497ED7">
    <w:pPr>
      <w:pStyle w:val="Footer"/>
      <w:rPr>
        <w:rFonts w:ascii="Arial" w:hAnsi="Arial" w:cs="Arial"/>
        <w:i/>
        <w:sz w:val="16"/>
        <w:szCs w:val="16"/>
      </w:rPr>
    </w:pPr>
    <w:r>
      <w:rPr>
        <w:noProof/>
      </w:rPr>
      <w:pict w14:anchorId="72B37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79.8pt;margin-top:8.3pt;width:87.05pt;height:20.85pt;z-index:-251658752;visibility:visible">
          <v:imagedata r:id="rId1" o:title="kidcentralTN_Logo_BW (2)"/>
        </v:shape>
      </w:pict>
    </w:r>
    <w:r w:rsidR="00497ED7" w:rsidRPr="002979E2">
      <w:rPr>
        <w:rFonts w:ascii="Arial" w:hAnsi="Arial" w:cs="Arial"/>
        <w:i/>
        <w:sz w:val="16"/>
        <w:szCs w:val="16"/>
      </w:rPr>
      <w:t>Check the “Forms” Webpage for the current version and disregard previous versions. This form may not be altered without prior approval.</w:t>
    </w:r>
  </w:p>
  <w:p w14:paraId="3AE47AE5" w14:textId="77777777" w:rsidR="00A93AE2" w:rsidRPr="00A96707" w:rsidRDefault="00497ED7"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3AE2" w:rsidRPr="00A96707">
      <w:rPr>
        <w:rFonts w:ascii="Arial" w:hAnsi="Arial" w:cs="Arial"/>
        <w:iCs/>
        <w:sz w:val="16"/>
        <w:szCs w:val="16"/>
      </w:rPr>
      <w:t>RDA</w:t>
    </w:r>
    <w:r w:rsidR="002543CA">
      <w:rPr>
        <w:rFonts w:ascii="Arial" w:hAnsi="Arial" w:cs="Arial"/>
        <w:iCs/>
        <w:sz w:val="16"/>
        <w:szCs w:val="16"/>
      </w:rPr>
      <w:t xml:space="preserve"> </w:t>
    </w:r>
    <w:r w:rsidR="00365466">
      <w:rPr>
        <w:rFonts w:ascii="Arial" w:hAnsi="Arial" w:cs="Arial"/>
        <w:iCs/>
        <w:sz w:val="16"/>
        <w:szCs w:val="16"/>
      </w:rPr>
      <w:t>11016</w:t>
    </w:r>
  </w:p>
  <w:p w14:paraId="6A4B722A" w14:textId="77777777" w:rsidR="00D763E2" w:rsidRPr="002979E2" w:rsidRDefault="0076376B" w:rsidP="00D763E2">
    <w:pPr>
      <w:overflowPunct/>
      <w:textAlignment w:val="auto"/>
      <w:rPr>
        <w:rFonts w:ascii="Arial" w:hAnsi="Arial" w:cs="Arial"/>
        <w:sz w:val="16"/>
        <w:szCs w:val="16"/>
      </w:rPr>
    </w:pPr>
    <w:r>
      <w:rPr>
        <w:rFonts w:ascii="Arial" w:hAnsi="Arial" w:cs="Arial"/>
        <w:sz w:val="16"/>
        <w:szCs w:val="16"/>
      </w:rPr>
      <w:t>C</w:t>
    </w:r>
    <w:r w:rsidR="00A96707">
      <w:rPr>
        <w:rFonts w:ascii="Arial" w:hAnsi="Arial" w:cs="Arial"/>
        <w:sz w:val="16"/>
        <w:szCs w:val="16"/>
      </w:rPr>
      <w:t>S-</w:t>
    </w:r>
    <w:r w:rsidR="00DC5623">
      <w:rPr>
        <w:rFonts w:ascii="Arial" w:hAnsi="Arial" w:cs="Arial"/>
        <w:sz w:val="16"/>
        <w:szCs w:val="16"/>
      </w:rPr>
      <w:t>4203</w:t>
    </w:r>
    <w:r w:rsidR="00A96707">
      <w:rPr>
        <w:rFonts w:ascii="Arial" w:hAnsi="Arial" w:cs="Arial"/>
        <w:sz w:val="16"/>
        <w:szCs w:val="16"/>
      </w:rPr>
      <w:t>,</w:t>
    </w:r>
    <w:r w:rsidR="00E70B6A">
      <w:rPr>
        <w:rFonts w:ascii="Arial" w:hAnsi="Arial" w:cs="Arial"/>
        <w:sz w:val="16"/>
        <w:szCs w:val="16"/>
      </w:rPr>
      <w:t xml:space="preserve"> </w:t>
    </w:r>
    <w:r w:rsidR="00F71223">
      <w:rPr>
        <w:rFonts w:ascii="Arial" w:hAnsi="Arial" w:cs="Arial"/>
        <w:sz w:val="16"/>
        <w:szCs w:val="16"/>
      </w:rPr>
      <w:t>0</w:t>
    </w:r>
    <w:r w:rsidR="00482C43">
      <w:rPr>
        <w:rFonts w:ascii="Arial" w:hAnsi="Arial" w:cs="Arial"/>
        <w:sz w:val="16"/>
        <w:szCs w:val="16"/>
      </w:rPr>
      <w:t>5</w:t>
    </w:r>
    <w:r w:rsidR="00F71223">
      <w:rPr>
        <w:rFonts w:ascii="Arial" w:hAnsi="Arial" w:cs="Arial"/>
        <w:sz w:val="16"/>
        <w:szCs w:val="16"/>
      </w:rPr>
      <w:t>/</w:t>
    </w:r>
    <w:r w:rsidR="00365466">
      <w:rPr>
        <w:rFonts w:ascii="Arial" w:hAnsi="Arial" w:cs="Arial"/>
        <w:sz w:val="16"/>
        <w:szCs w:val="16"/>
      </w:rPr>
      <w:t>21</w:t>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A93AE2" w:rsidRPr="002979E2">
      <w:rPr>
        <w:rFonts w:ascii="Arial" w:hAnsi="Arial" w:cs="Arial"/>
        <w:sz w:val="16"/>
        <w:szCs w:val="16"/>
      </w:rPr>
      <w:t xml:space="preserve">Page </w:t>
    </w:r>
    <w:r w:rsidR="00A93AE2" w:rsidRPr="002979E2">
      <w:rPr>
        <w:rStyle w:val="PageNumber"/>
        <w:rFonts w:ascii="Arial" w:hAnsi="Arial" w:cs="Arial"/>
        <w:sz w:val="16"/>
        <w:szCs w:val="16"/>
      </w:rPr>
      <w:fldChar w:fldCharType="begin"/>
    </w:r>
    <w:r w:rsidR="00A93AE2" w:rsidRPr="002979E2">
      <w:rPr>
        <w:rStyle w:val="PageNumber"/>
        <w:rFonts w:ascii="Arial" w:hAnsi="Arial" w:cs="Arial"/>
        <w:sz w:val="16"/>
        <w:szCs w:val="16"/>
      </w:rPr>
      <w:instrText xml:space="preserve"> PAGE </w:instrText>
    </w:r>
    <w:r w:rsidR="00A93AE2" w:rsidRPr="002979E2">
      <w:rPr>
        <w:rStyle w:val="PageNumber"/>
        <w:rFonts w:ascii="Arial" w:hAnsi="Arial" w:cs="Arial"/>
        <w:sz w:val="16"/>
        <w:szCs w:val="16"/>
      </w:rPr>
      <w:fldChar w:fldCharType="separate"/>
    </w:r>
    <w:r w:rsidR="0016268F">
      <w:rPr>
        <w:rStyle w:val="PageNumber"/>
        <w:rFonts w:ascii="Arial" w:hAnsi="Arial" w:cs="Arial"/>
        <w:noProof/>
        <w:sz w:val="16"/>
        <w:szCs w:val="16"/>
      </w:rPr>
      <w:t>1</w:t>
    </w:r>
    <w:r w:rsidR="00A93AE2" w:rsidRPr="002979E2">
      <w:rPr>
        <w:rStyle w:val="PageNumber"/>
        <w:rFonts w:ascii="Arial" w:hAnsi="Arial" w:cs="Arial"/>
        <w:sz w:val="16"/>
        <w:szCs w:val="16"/>
      </w:rPr>
      <w:fldChar w:fldCharType="end"/>
    </w:r>
    <w:r w:rsidR="00D763E2" w:rsidRPr="002979E2">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89E5" w14:textId="77777777" w:rsidR="008D2F47" w:rsidRDefault="008D2F47">
      <w:r>
        <w:separator/>
      </w:r>
    </w:p>
  </w:footnote>
  <w:footnote w:type="continuationSeparator" w:id="0">
    <w:p w14:paraId="4930A8A0" w14:textId="77777777" w:rsidR="008D2F47" w:rsidRDefault="008D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221614"/>
    <w:multiLevelType w:val="hybridMultilevel"/>
    <w:tmpl w:val="78FE3132"/>
    <w:lvl w:ilvl="0" w:tplc="D69A618E">
      <w:start w:val="1"/>
      <w:numFmt w:val="bullet"/>
      <w:lvlText w:val="□"/>
      <w:lvlJc w:val="left"/>
      <w:pPr>
        <w:ind w:left="1440" w:hanging="360"/>
      </w:pPr>
      <w:rPr>
        <w:rFonts w:ascii="Calibri" w:hAnsi="Calibri"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3"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3"/>
  </w:num>
  <w:num w:numId="6">
    <w:abstractNumId w:val="22"/>
  </w:num>
  <w:num w:numId="7">
    <w:abstractNumId w:val="20"/>
  </w:num>
  <w:num w:numId="8">
    <w:abstractNumId w:val="23"/>
  </w:num>
  <w:num w:numId="9">
    <w:abstractNumId w:val="2"/>
  </w:num>
  <w:num w:numId="10">
    <w:abstractNumId w:val="27"/>
  </w:num>
  <w:num w:numId="11">
    <w:abstractNumId w:val="14"/>
  </w:num>
  <w:num w:numId="12">
    <w:abstractNumId w:val="26"/>
  </w:num>
  <w:num w:numId="13">
    <w:abstractNumId w:val="19"/>
  </w:num>
  <w:num w:numId="14">
    <w:abstractNumId w:val="25"/>
  </w:num>
  <w:num w:numId="15">
    <w:abstractNumId w:val="7"/>
  </w:num>
  <w:num w:numId="16">
    <w:abstractNumId w:val="18"/>
  </w:num>
  <w:num w:numId="17">
    <w:abstractNumId w:val="17"/>
  </w:num>
  <w:num w:numId="18">
    <w:abstractNumId w:val="1"/>
  </w:num>
  <w:num w:numId="19">
    <w:abstractNumId w:val="21"/>
  </w:num>
  <w:num w:numId="20">
    <w:abstractNumId w:val="9"/>
  </w:num>
  <w:num w:numId="21">
    <w:abstractNumId w:val="6"/>
  </w:num>
  <w:num w:numId="22">
    <w:abstractNumId w:val="16"/>
  </w:num>
  <w:num w:numId="23">
    <w:abstractNumId w:val="11"/>
  </w:num>
  <w:num w:numId="24">
    <w:abstractNumId w:val="28"/>
  </w:num>
  <w:num w:numId="25">
    <w:abstractNumId w:val="24"/>
  </w:num>
  <w:num w:numId="26">
    <w:abstractNumId w:val="10"/>
  </w:num>
  <w:num w:numId="27">
    <w:abstractNumId w:val="12"/>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m9ZTktPjpmyjKq9IpJpIxSvoDaOEB/Lj9tGVj5l9z4QVF9D28o6nEn9FopLye02EHog0xOwOtetil9L/IoM3g==" w:salt="DVFcHNDRt/lK9AuNFlYyY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D2E"/>
    <w:rsid w:val="00010FC6"/>
    <w:rsid w:val="00031D17"/>
    <w:rsid w:val="0003637A"/>
    <w:rsid w:val="000409E4"/>
    <w:rsid w:val="0004199F"/>
    <w:rsid w:val="000B47C3"/>
    <w:rsid w:val="000C3B68"/>
    <w:rsid w:val="000C5094"/>
    <w:rsid w:val="000C7A06"/>
    <w:rsid w:val="000D4B15"/>
    <w:rsid w:val="000D4EAA"/>
    <w:rsid w:val="000E42B0"/>
    <w:rsid w:val="000E7F89"/>
    <w:rsid w:val="000F3D49"/>
    <w:rsid w:val="000F41A1"/>
    <w:rsid w:val="001000D2"/>
    <w:rsid w:val="00104796"/>
    <w:rsid w:val="00106C8C"/>
    <w:rsid w:val="0012222A"/>
    <w:rsid w:val="0013009E"/>
    <w:rsid w:val="00150F9D"/>
    <w:rsid w:val="0016268F"/>
    <w:rsid w:val="00191A08"/>
    <w:rsid w:val="001C0026"/>
    <w:rsid w:val="001D3602"/>
    <w:rsid w:val="001E7A9A"/>
    <w:rsid w:val="001F68EB"/>
    <w:rsid w:val="001F6AD1"/>
    <w:rsid w:val="00202D1C"/>
    <w:rsid w:val="00202E2E"/>
    <w:rsid w:val="00217BBF"/>
    <w:rsid w:val="00231D5D"/>
    <w:rsid w:val="002543CA"/>
    <w:rsid w:val="00274A56"/>
    <w:rsid w:val="002805A4"/>
    <w:rsid w:val="00282146"/>
    <w:rsid w:val="002979E2"/>
    <w:rsid w:val="002A3B03"/>
    <w:rsid w:val="002B0585"/>
    <w:rsid w:val="002B250A"/>
    <w:rsid w:val="002B29D8"/>
    <w:rsid w:val="002C402E"/>
    <w:rsid w:val="002D3819"/>
    <w:rsid w:val="002D727F"/>
    <w:rsid w:val="002E08C6"/>
    <w:rsid w:val="002E6ADD"/>
    <w:rsid w:val="00305398"/>
    <w:rsid w:val="00305A5D"/>
    <w:rsid w:val="003257BA"/>
    <w:rsid w:val="003269FA"/>
    <w:rsid w:val="003348A2"/>
    <w:rsid w:val="00340375"/>
    <w:rsid w:val="00342D2E"/>
    <w:rsid w:val="00350A23"/>
    <w:rsid w:val="00365466"/>
    <w:rsid w:val="00381CE0"/>
    <w:rsid w:val="003831C2"/>
    <w:rsid w:val="003872FB"/>
    <w:rsid w:val="00394A7D"/>
    <w:rsid w:val="00395A80"/>
    <w:rsid w:val="003B014C"/>
    <w:rsid w:val="003B4A52"/>
    <w:rsid w:val="003C1679"/>
    <w:rsid w:val="003C4351"/>
    <w:rsid w:val="003C6DFD"/>
    <w:rsid w:val="003C6E15"/>
    <w:rsid w:val="003E7B7B"/>
    <w:rsid w:val="003F4E0D"/>
    <w:rsid w:val="003F7C6A"/>
    <w:rsid w:val="00406248"/>
    <w:rsid w:val="00421C44"/>
    <w:rsid w:val="00434F2B"/>
    <w:rsid w:val="00435419"/>
    <w:rsid w:val="00447794"/>
    <w:rsid w:val="00451306"/>
    <w:rsid w:val="00452493"/>
    <w:rsid w:val="004565F5"/>
    <w:rsid w:val="00476B45"/>
    <w:rsid w:val="00482C43"/>
    <w:rsid w:val="00497ED7"/>
    <w:rsid w:val="004C1809"/>
    <w:rsid w:val="004C51C0"/>
    <w:rsid w:val="004D6F30"/>
    <w:rsid w:val="004D7674"/>
    <w:rsid w:val="004E20B1"/>
    <w:rsid w:val="004E367B"/>
    <w:rsid w:val="004F37EF"/>
    <w:rsid w:val="00503B3F"/>
    <w:rsid w:val="005161BF"/>
    <w:rsid w:val="005208A9"/>
    <w:rsid w:val="00522D1C"/>
    <w:rsid w:val="00524575"/>
    <w:rsid w:val="0053680C"/>
    <w:rsid w:val="00554261"/>
    <w:rsid w:val="00581C10"/>
    <w:rsid w:val="00597092"/>
    <w:rsid w:val="005A6027"/>
    <w:rsid w:val="005B66AD"/>
    <w:rsid w:val="005B66AF"/>
    <w:rsid w:val="005C026D"/>
    <w:rsid w:val="005D0E91"/>
    <w:rsid w:val="005F1567"/>
    <w:rsid w:val="005F6252"/>
    <w:rsid w:val="00612E1D"/>
    <w:rsid w:val="00623349"/>
    <w:rsid w:val="00634CE4"/>
    <w:rsid w:val="00637013"/>
    <w:rsid w:val="0065785B"/>
    <w:rsid w:val="0066235E"/>
    <w:rsid w:val="00667B8F"/>
    <w:rsid w:val="006705D8"/>
    <w:rsid w:val="006854DF"/>
    <w:rsid w:val="006B1181"/>
    <w:rsid w:val="006C0688"/>
    <w:rsid w:val="006C1D84"/>
    <w:rsid w:val="006C7374"/>
    <w:rsid w:val="006F0AC6"/>
    <w:rsid w:val="006F0C16"/>
    <w:rsid w:val="006F3A83"/>
    <w:rsid w:val="006F66FE"/>
    <w:rsid w:val="006F6B32"/>
    <w:rsid w:val="00702277"/>
    <w:rsid w:val="007028EC"/>
    <w:rsid w:val="007064FB"/>
    <w:rsid w:val="00711009"/>
    <w:rsid w:val="00741FB0"/>
    <w:rsid w:val="00753E4A"/>
    <w:rsid w:val="00760B16"/>
    <w:rsid w:val="0076376B"/>
    <w:rsid w:val="00771D1A"/>
    <w:rsid w:val="007803F1"/>
    <w:rsid w:val="00780613"/>
    <w:rsid w:val="00792BC0"/>
    <w:rsid w:val="00795AFA"/>
    <w:rsid w:val="007A05AA"/>
    <w:rsid w:val="007C587A"/>
    <w:rsid w:val="007D255E"/>
    <w:rsid w:val="007F5E9A"/>
    <w:rsid w:val="008056A7"/>
    <w:rsid w:val="008170E9"/>
    <w:rsid w:val="00845F56"/>
    <w:rsid w:val="00860B93"/>
    <w:rsid w:val="00861282"/>
    <w:rsid w:val="0086474F"/>
    <w:rsid w:val="00864ABA"/>
    <w:rsid w:val="00874B6E"/>
    <w:rsid w:val="0088119C"/>
    <w:rsid w:val="008811DB"/>
    <w:rsid w:val="00895833"/>
    <w:rsid w:val="008A2FC5"/>
    <w:rsid w:val="008B7CFD"/>
    <w:rsid w:val="008D2F47"/>
    <w:rsid w:val="008D4301"/>
    <w:rsid w:val="008F4D13"/>
    <w:rsid w:val="00920D6F"/>
    <w:rsid w:val="009216B9"/>
    <w:rsid w:val="009429CB"/>
    <w:rsid w:val="00952303"/>
    <w:rsid w:val="00962A9C"/>
    <w:rsid w:val="00964308"/>
    <w:rsid w:val="0096604A"/>
    <w:rsid w:val="009713EB"/>
    <w:rsid w:val="00983AAE"/>
    <w:rsid w:val="009A0A16"/>
    <w:rsid w:val="009C38CA"/>
    <w:rsid w:val="009E2229"/>
    <w:rsid w:val="00A14E64"/>
    <w:rsid w:val="00A24FCB"/>
    <w:rsid w:val="00A64BD6"/>
    <w:rsid w:val="00A74AAB"/>
    <w:rsid w:val="00A76D5C"/>
    <w:rsid w:val="00A82CEB"/>
    <w:rsid w:val="00A916D1"/>
    <w:rsid w:val="00A93AE2"/>
    <w:rsid w:val="00A96707"/>
    <w:rsid w:val="00AA1677"/>
    <w:rsid w:val="00AA2381"/>
    <w:rsid w:val="00AA27E8"/>
    <w:rsid w:val="00AB0AE7"/>
    <w:rsid w:val="00AB18A8"/>
    <w:rsid w:val="00AB4D61"/>
    <w:rsid w:val="00AE5C62"/>
    <w:rsid w:val="00B1317E"/>
    <w:rsid w:val="00B1379F"/>
    <w:rsid w:val="00B14941"/>
    <w:rsid w:val="00B14E5D"/>
    <w:rsid w:val="00B20E77"/>
    <w:rsid w:val="00B21498"/>
    <w:rsid w:val="00B261BA"/>
    <w:rsid w:val="00B265D1"/>
    <w:rsid w:val="00B26B32"/>
    <w:rsid w:val="00B43450"/>
    <w:rsid w:val="00B43B91"/>
    <w:rsid w:val="00B479FF"/>
    <w:rsid w:val="00B50937"/>
    <w:rsid w:val="00B625F2"/>
    <w:rsid w:val="00B76AB0"/>
    <w:rsid w:val="00B910A5"/>
    <w:rsid w:val="00BA0598"/>
    <w:rsid w:val="00BB0F58"/>
    <w:rsid w:val="00BB7CED"/>
    <w:rsid w:val="00BC7C87"/>
    <w:rsid w:val="00BF13D7"/>
    <w:rsid w:val="00C00F93"/>
    <w:rsid w:val="00C046ED"/>
    <w:rsid w:val="00C04863"/>
    <w:rsid w:val="00C21715"/>
    <w:rsid w:val="00C25613"/>
    <w:rsid w:val="00C40E4F"/>
    <w:rsid w:val="00C47106"/>
    <w:rsid w:val="00C8411C"/>
    <w:rsid w:val="00C86FA3"/>
    <w:rsid w:val="00C90A42"/>
    <w:rsid w:val="00C955FC"/>
    <w:rsid w:val="00CB77DC"/>
    <w:rsid w:val="00CD385E"/>
    <w:rsid w:val="00CD59E1"/>
    <w:rsid w:val="00CE55DF"/>
    <w:rsid w:val="00CF092B"/>
    <w:rsid w:val="00CF1E55"/>
    <w:rsid w:val="00CF2564"/>
    <w:rsid w:val="00D177F1"/>
    <w:rsid w:val="00D21217"/>
    <w:rsid w:val="00D21978"/>
    <w:rsid w:val="00D27A09"/>
    <w:rsid w:val="00D35A31"/>
    <w:rsid w:val="00D35E09"/>
    <w:rsid w:val="00D4780B"/>
    <w:rsid w:val="00D64262"/>
    <w:rsid w:val="00D650E4"/>
    <w:rsid w:val="00D71CF1"/>
    <w:rsid w:val="00D74674"/>
    <w:rsid w:val="00D763E2"/>
    <w:rsid w:val="00D8279E"/>
    <w:rsid w:val="00D830A2"/>
    <w:rsid w:val="00DA3187"/>
    <w:rsid w:val="00DA66FE"/>
    <w:rsid w:val="00DB6685"/>
    <w:rsid w:val="00DC5623"/>
    <w:rsid w:val="00DC671D"/>
    <w:rsid w:val="00DE6B4A"/>
    <w:rsid w:val="00DF767B"/>
    <w:rsid w:val="00E002E9"/>
    <w:rsid w:val="00E22ABF"/>
    <w:rsid w:val="00E2474C"/>
    <w:rsid w:val="00E35DD5"/>
    <w:rsid w:val="00E44C05"/>
    <w:rsid w:val="00E46830"/>
    <w:rsid w:val="00E47623"/>
    <w:rsid w:val="00E61319"/>
    <w:rsid w:val="00E617A7"/>
    <w:rsid w:val="00E65AF9"/>
    <w:rsid w:val="00E70B6A"/>
    <w:rsid w:val="00E74C6E"/>
    <w:rsid w:val="00E8059E"/>
    <w:rsid w:val="00E82329"/>
    <w:rsid w:val="00E87FB8"/>
    <w:rsid w:val="00E97E88"/>
    <w:rsid w:val="00ED28D6"/>
    <w:rsid w:val="00ED333E"/>
    <w:rsid w:val="00ED6E44"/>
    <w:rsid w:val="00F02BC5"/>
    <w:rsid w:val="00F02CF3"/>
    <w:rsid w:val="00F22BBE"/>
    <w:rsid w:val="00F30417"/>
    <w:rsid w:val="00F360B2"/>
    <w:rsid w:val="00F42FA7"/>
    <w:rsid w:val="00F508B2"/>
    <w:rsid w:val="00F6117F"/>
    <w:rsid w:val="00F63F57"/>
    <w:rsid w:val="00F71223"/>
    <w:rsid w:val="00F7455B"/>
    <w:rsid w:val="00F83568"/>
    <w:rsid w:val="00F84C62"/>
    <w:rsid w:val="00FA7FBE"/>
    <w:rsid w:val="00FB7B4B"/>
    <w:rsid w:val="00FD5460"/>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94BB84"/>
  <w15:chartTrackingRefBased/>
  <w15:docId w15:val="{75D7A43E-B4D5-4C38-980A-ED96EC3E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uiPriority w:val="99"/>
    <w:unhideWhenUsed/>
    <w:rsid w:val="003654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Template</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Mary Hubbert</dc:creator>
  <cp:keywords/>
  <cp:lastModifiedBy>Lori Gauger</cp:lastModifiedBy>
  <cp:revision>2</cp:revision>
  <cp:lastPrinted>2007-08-23T14:33:00Z</cp:lastPrinted>
  <dcterms:created xsi:type="dcterms:W3CDTF">2022-02-09T21:52:00Z</dcterms:created>
  <dcterms:modified xsi:type="dcterms:W3CDTF">2022-02-09T21:52:00Z</dcterms:modified>
</cp:coreProperties>
</file>